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theme/theme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08d0127554e9e" /><Relationship Type="http://schemas.openxmlformats.org/package/2006/relationships/metadata/core-properties" Target="/docProps/core.xml" Id="R25da831289a3404f" /><Relationship Type="http://schemas.openxmlformats.org/officeDocument/2006/relationships/extended-properties" Target="/docProps/app.xml" Id="R53389244a0f1411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18DF">
      <w:pPr>
        <w:divId w:val="401760921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§ 10-5-21 - DUTY TO MAINTAIN PROPERTY IN SANITARY CONDITION. </w:t>
      </w:r>
    </w:p>
    <w:p w:rsidR="00000000" w:rsidRDefault="001418DF">
      <w:pPr>
        <w:pStyle w:val="list0"/>
        <w:divId w:val="1029333411"/>
      </w:pPr>
      <w:r>
        <w:t>(A)</w:t>
        <w:tab/>
      </w:r>
      <w:r>
        <w:t xml:space="preserve">An owner, occupant, or other person in control of real property shall maintain the property in a safe, sanitary condition. </w:t>
      </w:r>
    </w:p>
    <w:p w:rsidR="00000000" w:rsidRDefault="001418DF">
      <w:pPr>
        <w:pStyle w:val="list0"/>
        <w:divId w:val="1029333411"/>
      </w:pPr>
      <w:r>
        <w:t>(B)</w:t>
        <w:tab/>
      </w:r>
      <w:r>
        <w:t xml:space="preserve">A person may not allow the following to accumulate on the person's property or in the area from the person's property line to the adjacent curbline: </w:t>
      </w:r>
    </w:p>
    <w:p w:rsidR="00000000" w:rsidRDefault="001418DF">
      <w:pPr>
        <w:pStyle w:val="list1"/>
        <w:divId w:val="1029333411"/>
      </w:pPr>
      <w:r>
        <w:t>(1)</w:t>
        <w:tab/>
      </w:r>
      <w:r>
        <w:t>weeds or grasses more than 12 inches tall;</w:t>
      </w:r>
    </w:p>
    <w:p w:rsidR="00000000" w:rsidRDefault="001418DF">
      <w:pPr>
        <w:pStyle w:val="list1"/>
        <w:divId w:val="1029333411"/>
      </w:pPr>
      <w:r>
        <w:t>(2)</w:t>
        <w:tab/>
      </w:r>
      <w:r>
        <w:t>garbage, rubbish, or brush; or</w:t>
      </w:r>
    </w:p>
    <w:p w:rsidR="00000000" w:rsidRDefault="001418DF">
      <w:pPr>
        <w:pStyle w:val="list1"/>
        <w:divId w:val="1029333411"/>
      </w:pPr>
      <w:r>
        <w:t>(3)</w:t>
        <w:tab/>
      </w:r>
      <w:r>
        <w:t>filth, carrion, or a</w:t>
      </w:r>
      <w:r>
        <w:t>ny other unsightly, objectionable, or unwholesome matter.</w:t>
      </w:r>
    </w:p>
    <w:p w:rsidR="00000000" w:rsidRDefault="001418DF">
      <w:pPr>
        <w:pStyle w:val="list0"/>
        <w:divId w:val="1029333411"/>
      </w:pPr>
      <w:r>
        <w:t>(C)</w:t>
        <w:tab/>
      </w:r>
      <w:r>
        <w:t>A person may not allow stagnant water that is likely to promote disease to accumulate on the person's property. A person shall drain, fill, or re-grade the person's property to remove or prevent</w:t>
      </w:r>
      <w:r>
        <w:t xml:space="preserve"> a violation of this subsection. </w:t>
      </w:r>
    </w:p>
    <w:p w:rsidR="00000000" w:rsidRDefault="001418DF">
      <w:pPr>
        <w:pStyle w:val="list0"/>
        <w:divId w:val="1029333411"/>
      </w:pPr>
      <w:r>
        <w:t>(D)</w:t>
        <w:tab/>
      </w:r>
      <w:r>
        <w:t>It is an affirmative defense to a violation of Section 10-5-21(B)(1) that the weeds or grasses observed on the subject property did not reduce or impair visibility or line of sight at, of, or for right-of-way, vehicles</w:t>
      </w:r>
      <w:r>
        <w:t xml:space="preserve">, cyclists or pedestrians, and that the over-height weeds or grasses observed were located at or on one or more of the following: </w:t>
      </w:r>
    </w:p>
    <w:p w:rsidR="00000000" w:rsidRDefault="001418DF">
      <w:pPr>
        <w:pStyle w:val="list1"/>
        <w:divId w:val="1029333411"/>
      </w:pPr>
      <w:r>
        <w:t>(1)</w:t>
        <w:tab/>
      </w:r>
      <w:r>
        <w:t>an area within or adjacent to a stream, waterway, or water quality facility;</w:t>
      </w:r>
    </w:p>
    <w:p w:rsidR="00000000" w:rsidRDefault="001418DF">
      <w:pPr>
        <w:pStyle w:val="list1"/>
        <w:divId w:val="1029333411"/>
      </w:pPr>
      <w:r>
        <w:t>(2)</w:t>
        <w:tab/>
      </w:r>
      <w:r>
        <w:t>a landscaped area arranged and managed c</w:t>
      </w:r>
      <w:r>
        <w:t xml:space="preserve">onsistent with a plan accepted by the City which area includes native or adapted vegetation, where weed control and other periodic maintenance occurs; or </w:t>
      </w:r>
    </w:p>
    <w:p w:rsidR="00000000" w:rsidRDefault="001418DF">
      <w:pPr>
        <w:pStyle w:val="list1"/>
        <w:divId w:val="1029333411"/>
      </w:pPr>
      <w:r>
        <w:t>(3)</w:t>
        <w:tab/>
      </w:r>
      <w:r>
        <w:t>city parkland, a greenbelt, nature preserve, or other publicly maintained open space.</w:t>
      </w:r>
    </w:p>
    <w:p w:rsidR="00000000" w:rsidRDefault="001418DF">
      <w:pPr>
        <w:pStyle w:val="list0"/>
        <w:divId w:val="1029333411"/>
      </w:pPr>
      <w:r>
        <w:t>(E)</w:t>
        <w:tab/>
      </w:r>
      <w:r>
        <w:t>The Cit</w:t>
      </w:r>
      <w:r>
        <w:t>y Manager may authorize a department to adopt rules under Section 1-2-1 to implement, administer, enforce, or comply with Chapter 10-5 (</w:t>
      </w:r>
      <w:r>
        <w:rPr>
          <w:rStyle w:val="ital"/>
        </w:rPr>
        <w:t>Miscellaneous Public Health Regulations</w:t>
      </w:r>
      <w:r>
        <w:t xml:space="preserve">). </w:t>
      </w:r>
    </w:p>
    <w:p w:rsidR="00000000" w:rsidRDefault="001418DF">
      <w:pPr>
        <w:pStyle w:val="list0"/>
        <w:divId w:val="1029333411"/>
      </w:pPr>
      <w:r>
        <w:t>(F)</w:t>
        <w:tab/>
      </w:r>
      <w:r>
        <w:t>The City Manager may authorize a department to adopt alternative complian</w:t>
      </w:r>
      <w:r>
        <w:t xml:space="preserve">ce rules under Section 1-2-1 that permit maintenance of specified perimeters on properties defined as large parcels, undeveloped, or minimally developed, as an alternative to compliance of the entire property with Subsection 10-5-21(B). </w:t>
      </w:r>
    </w:p>
    <w:p w:rsidR="00000000" w:rsidRDefault="001418DF">
      <w:pPr>
        <w:pStyle w:val="list0"/>
        <w:divId w:val="1029333411"/>
      </w:pPr>
      <w:r>
        <w:t>(G)</w:t>
        <w:tab/>
      </w:r>
      <w:r>
        <w:t>Violation of C</w:t>
      </w:r>
      <w:r>
        <w:t xml:space="preserve">hapter 10-5 or any rule adopted under Section 1-2-1 pursuant to Chapter 10-5 is a violation of City Code, with enforcement authorized and punishable by any one or combination of the following: </w:t>
      </w:r>
    </w:p>
    <w:p w:rsidR="00000000" w:rsidRDefault="001418DF">
      <w:pPr>
        <w:pStyle w:val="list1"/>
        <w:divId w:val="1029333411"/>
      </w:pPr>
      <w:r>
        <w:t>(1)</w:t>
        <w:tab/>
      </w:r>
      <w:r>
        <w:t xml:space="preserve">an administrative adjudication under Texas Local Government Code Chapter 54 Subchapter C through procedures that comply with the requirements of Section 54.043 or 54.044; </w:t>
      </w:r>
    </w:p>
    <w:p w:rsidR="00000000" w:rsidRDefault="001418DF">
      <w:pPr>
        <w:pStyle w:val="list1"/>
        <w:divId w:val="1029333411"/>
      </w:pPr>
      <w:r>
        <w:t>(2)</w:t>
        <w:tab/>
      </w:r>
      <w:r>
        <w:t>as a Class C misdemeanor by a fine upon conviction not to exceed $500 unless pro</w:t>
      </w:r>
      <w:r>
        <w:t xml:space="preserve">of of a culpable mental state is pled, in which case the fine upon conviction shall not exceed $2,000. Proof of a culpable mental state is expressly waived when a fine of $500 or less is sought for the offense; </w:t>
      </w:r>
    </w:p>
    <w:p w:rsidR="00000000" w:rsidRDefault="001418DF">
      <w:pPr>
        <w:pStyle w:val="list1"/>
        <w:divId w:val="1029333411"/>
      </w:pPr>
      <w:r>
        <w:t>(3)</w:t>
        <w:tab/>
      </w:r>
      <w:r>
        <w:t>in a civil proceeding brought before any</w:t>
      </w:r>
      <w:r>
        <w:t xml:space="preserve"> court, hearing officer, or quasi-judicial body of competent jurisdiction as applicable; or </w:t>
      </w:r>
    </w:p>
    <w:p w:rsidR="00000000" w:rsidRDefault="001418DF">
      <w:pPr>
        <w:pStyle w:val="list1"/>
        <w:divId w:val="1029333411"/>
      </w:pPr>
      <w:r>
        <w:t>(4)</w:t>
        <w:tab/>
      </w:r>
      <w:r>
        <w:t>via an abatement of the property or of any unsafe or unsanitary condition present upon consent or as authorized by applicable state or local law when condition</w:t>
      </w:r>
      <w:r>
        <w:t xml:space="preserve">s present an immediate danger to the health, life, safety, or welfare of any person. </w:t>
      </w:r>
    </w:p>
    <w:p w:rsidR="00000000" w:rsidRDefault="001418DF">
      <w:pPr>
        <w:pStyle w:val="historynote0"/>
        <w:divId w:val="1029333411"/>
      </w:pPr>
      <w:r>
        <w:rPr>
          <w:rStyle w:val="ital"/>
        </w:rPr>
        <w:t>Source: 1992 Code Section 10-2-1; Ord. 031023-11; Ord. 031211-11; Ord. 20120628-012.</w:t>
      </w:r>
      <w: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  <w:headerReference r:id="Rbe60b3832b0143f1"/>
      <w:footerReference r:id="R55d38b5d4f7a478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0">
    <w:p w:rsidR="00140AA3" w:rsidRDefault="00140AA3">
      <w:pPr>
        <w:spacing w:after="0" w:line="240" w:lineRule="auto"/>
      </w:pPr>
      <w:r>
        <w:separator/>
      </w:r>
    </w:p>
  </w:endnote>
  <w:endnote w:type="continuationSeparator" w:id="1">
    <w:p w:rsidR="00140AA3" w:rsidRDefault="001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="http://schemas.openxmlformats.org/wordprocessingml/2006/main">
  <w:p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ptab w:alignment="center" w:relativeTo="margin" w:leader="none"/>
    </w:r>
    <w:r>
      <w:t xml:space="preserve"/>
    </w:r>
    <w:r>
      <w:ptab w:alignment="right" w:relativeTo="margin" w:leader="none"/>
    </w:r>
    <w:r>
      <w:t xml:space="preserve">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0">
    <w:p w:rsidR="00140AA3" w:rsidRDefault="00140AA3">
      <w:pPr>
        <w:spacing w:after="0" w:line="240" w:lineRule="auto"/>
      </w:pPr>
      <w:r>
        <w:separator/>
      </w:r>
    </w:p>
  </w:footnote>
  <w:footnote w:type="continuationSeparator" w:id="1">
    <w:p w:rsidR="00140AA3" w:rsidRDefault="00140AA3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0D4FC2"/>
    <w:rsid w:val="00111098"/>
    <w:rsid w:val="00113BE7"/>
    <w:rsid w:val="0012647E"/>
    <w:rsid w:val="00140AA3"/>
    <w:rsid w:val="001626D8"/>
    <w:rsid w:val="00202E94"/>
    <w:rsid w:val="002E4A32"/>
    <w:rsid w:val="003511BB"/>
    <w:rsid w:val="00383AA3"/>
    <w:rsid w:val="00392F91"/>
    <w:rsid w:val="00407C49"/>
    <w:rsid w:val="004624C3"/>
    <w:rsid w:val="004F2014"/>
    <w:rsid w:val="004F6CB2"/>
    <w:rsid w:val="00521C38"/>
    <w:rsid w:val="00620813"/>
    <w:rsid w:val="006957EB"/>
    <w:rsid w:val="0072133F"/>
    <w:rsid w:val="00740B3F"/>
    <w:rsid w:val="00787514"/>
    <w:rsid w:val="00796377"/>
    <w:rsid w:val="008329C3"/>
    <w:rsid w:val="0083775A"/>
    <w:rsid w:val="00893109"/>
    <w:rsid w:val="008F5E56"/>
    <w:rsid w:val="00986932"/>
    <w:rsid w:val="009F6605"/>
    <w:rsid w:val="00A94F55"/>
    <w:rsid w:val="00AF0901"/>
    <w:rsid w:val="00B239E2"/>
    <w:rsid w:val="00B62380"/>
    <w:rsid w:val="00B96465"/>
    <w:rsid w:val="00BE6AE8"/>
    <w:rsid w:val="00CF3863"/>
    <w:rsid w:val="00D16B6F"/>
    <w:rsid w:val="00D440B4"/>
    <w:rsid w:val="00D6354F"/>
    <w:rsid w:val="00E2049E"/>
    <w:rsid w:val="00E245CF"/>
    <w:rsid w:val="00E460BC"/>
    <w:rsid w:val="00EB4352"/>
    <w:rsid w:val="00EC58D9"/>
    <w:rsid w:val="00F15F1F"/>
    <w:rsid w:val="00FA1F55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E713-4EFD-4F7F-94B2-C963217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character" w:customStyle="1" w:styleId="ital">
    <w:name w:val="ital"/>
    <w:basedOn w:val="DefaultParagraphFont"/>
  </w:style>
  <w:style w:type="paragraph" w:customStyle="1" w:styleId="historynote0">
    <w:name w:val="historynote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718ebe7b34b47e3" /><Relationship Type="http://schemas.openxmlformats.org/officeDocument/2006/relationships/footnotes" Target="/word/footnotes.xml" Id="R97ed0fdeaccb494d" /><Relationship Type="http://schemas.openxmlformats.org/officeDocument/2006/relationships/endnotes" Target="/word/endnotes.xml" Id="Rf4e9a91d5632416a" /><Relationship Type="http://schemas.openxmlformats.org/officeDocument/2006/relationships/webSettings" Target="/word/webSettings.xml" Id="R64bcc8b1dcc645c8" /><Relationship Type="http://schemas.openxmlformats.org/officeDocument/2006/relationships/theme" Target="/word/theme/theme.xml" Id="R2af4c49cf28b473a" /><Relationship Type="http://schemas.openxmlformats.org/officeDocument/2006/relationships/styles" Target="/word/styles.xml" Id="R057c1a0d5aa147d7" /><Relationship Type="http://schemas.openxmlformats.org/officeDocument/2006/relationships/fontTable" Target="/word/fontTable.xml" Id="R34fc46bdf9bc4767" /><Relationship Type="http://schemas.openxmlformats.org/officeDocument/2006/relationships/header" Target="/word/header.xml" Id="Rbe60b3832b0143f1" /><Relationship Type="http://schemas.openxmlformats.org/officeDocument/2006/relationships/footer" Target="/word/footer.xml" Id="R55d38b5d4f7a478f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Raymond Lillibridge</cp:lastModifiedBy>
  <cp:revision>5</cp:revision>
  <cp:lastPrinted>2015-04-15T12:17:00Z</cp:lastPrinted>
  <dcterms:created xsi:type="dcterms:W3CDTF">2015-04-15T12:17:00Z</dcterms:created>
  <dcterms:modified xsi:type="dcterms:W3CDTF">2015-04-15T12:17:00Z</dcterms:modified>
</cp:coreProperties>
</file>